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0DC1F">
      <w:pPr>
        <w:spacing w:line="560" w:lineRule="exact"/>
        <w:rPr>
          <w:rFonts w:hint="eastAsia" w:ascii="仿宋" w:hAnsi="仿宋" w:eastAsia="仿宋" w:cs="宋体"/>
          <w:b w:val="0"/>
          <w:bCs/>
          <w:color w:val="auto"/>
          <w:kern w:val="0"/>
          <w:szCs w:val="32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color w:val="auto"/>
          <w:kern w:val="0"/>
          <w:szCs w:val="32"/>
          <w:lang w:val="en-US" w:eastAsia="zh-CN"/>
        </w:rPr>
        <w:t>附件1</w:t>
      </w:r>
    </w:p>
    <w:p w14:paraId="7EFF6062"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年课程思政教学竞赛赛事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说明</w:t>
      </w:r>
    </w:p>
    <w:p w14:paraId="1787467E">
      <w:pPr>
        <w:spacing w:line="560" w:lineRule="exact"/>
        <w:ind w:firstLine="640" w:firstLineChars="200"/>
        <w:rPr>
          <w:rFonts w:hint="eastAsia" w:ascii="仿宋" w:hAnsi="仿宋" w:eastAsia="仿宋" w:cs="宋体"/>
          <w:bCs/>
          <w:color w:val="auto"/>
          <w:kern w:val="0"/>
          <w:szCs w:val="32"/>
        </w:rPr>
      </w:pPr>
    </w:p>
    <w:p w14:paraId="0D2AE11C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仿宋" w:hAnsi="仿宋" w:eastAsia="仿宋" w:cs="宋体"/>
          <w:b/>
          <w:bCs w:val="0"/>
          <w:color w:val="auto"/>
          <w:kern w:val="0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0"/>
          <w:szCs w:val="32"/>
        </w:rPr>
        <w:t>一、复赛</w:t>
      </w:r>
      <w:r>
        <w:rPr>
          <w:rFonts w:hint="eastAsia" w:ascii="仿宋" w:hAnsi="仿宋" w:eastAsia="仿宋" w:cs="宋体"/>
          <w:b/>
          <w:bCs w:val="0"/>
          <w:color w:val="auto"/>
          <w:kern w:val="0"/>
          <w:szCs w:val="32"/>
          <w:lang w:val="en-US" w:eastAsia="zh-CN"/>
        </w:rPr>
        <w:t>参赛要求</w:t>
      </w:r>
    </w:p>
    <w:p w14:paraId="1F31C081">
      <w:pPr>
        <w:spacing w:line="560" w:lineRule="exact"/>
        <w:ind w:firstLine="640" w:firstLineChars="200"/>
        <w:rPr>
          <w:rFonts w:ascii="仿宋" w:hAnsi="仿宋" w:eastAsia="仿宋" w:cs="宋体"/>
          <w:bCs/>
          <w:color w:val="auto"/>
          <w:kern w:val="0"/>
          <w:szCs w:val="32"/>
        </w:rPr>
      </w:pPr>
      <w:r>
        <w:rPr>
          <w:rFonts w:hint="eastAsia" w:ascii="仿宋" w:hAnsi="仿宋" w:eastAsia="仿宋" w:cs="宋体"/>
          <w:bCs/>
          <w:color w:val="auto"/>
          <w:kern w:val="0"/>
          <w:szCs w:val="32"/>
          <w:lang w:val="en-US" w:eastAsia="zh-CN"/>
        </w:rPr>
        <w:t>1.</w:t>
      </w:r>
      <w:r>
        <w:rPr>
          <w:rFonts w:ascii="仿宋" w:hAnsi="仿宋" w:eastAsia="仿宋" w:cs="宋体"/>
          <w:bCs/>
          <w:color w:val="auto"/>
          <w:kern w:val="0"/>
          <w:szCs w:val="32"/>
        </w:rPr>
        <w:t>各</w:t>
      </w:r>
      <w:r>
        <w:rPr>
          <w:rFonts w:hint="eastAsia" w:ascii="仿宋" w:hAnsi="仿宋" w:eastAsia="仿宋" w:cs="宋体"/>
          <w:bCs/>
          <w:color w:val="auto"/>
          <w:kern w:val="0"/>
          <w:szCs w:val="32"/>
          <w:lang w:val="en-US" w:eastAsia="zh-CN"/>
        </w:rPr>
        <w:t>二级学院应在完成初赛的基础上提交初赛工作总结</w:t>
      </w:r>
      <w:r>
        <w:rPr>
          <w:rFonts w:ascii="仿宋" w:hAnsi="仿宋" w:eastAsia="仿宋" w:cs="宋体"/>
          <w:bCs/>
          <w:color w:val="auto"/>
          <w:kern w:val="0"/>
          <w:szCs w:val="32"/>
        </w:rPr>
        <w:t>（须包含</w:t>
      </w:r>
      <w:r>
        <w:rPr>
          <w:rFonts w:ascii="仿宋" w:hAnsi="仿宋" w:eastAsia="仿宋" w:cs="宋体"/>
          <w:bCs/>
          <w:color w:val="auto"/>
          <w:kern w:val="0"/>
          <w:szCs w:val="32"/>
          <w:lang w:val="en-US" w:eastAsia="zh-CN"/>
        </w:rPr>
        <w:t>比赛基本概况</w:t>
      </w:r>
      <w:r>
        <w:rPr>
          <w:rFonts w:ascii="仿宋" w:hAnsi="仿宋" w:eastAsia="仿宋" w:cs="宋体"/>
          <w:bCs/>
          <w:color w:val="auto"/>
          <w:kern w:val="0"/>
          <w:szCs w:val="32"/>
        </w:rPr>
        <w:t>、</w:t>
      </w:r>
      <w:r>
        <w:rPr>
          <w:rFonts w:ascii="仿宋" w:hAnsi="仿宋" w:eastAsia="仿宋" w:cs="宋体"/>
          <w:bCs/>
          <w:color w:val="auto"/>
          <w:kern w:val="0"/>
          <w:szCs w:val="32"/>
          <w:lang w:val="en-US" w:eastAsia="zh-CN"/>
        </w:rPr>
        <w:t>效果与亮点、存在问题与建议</w:t>
      </w:r>
      <w:r>
        <w:rPr>
          <w:rFonts w:hint="eastAsia" w:ascii="仿宋" w:hAnsi="仿宋" w:eastAsia="仿宋" w:cs="宋体"/>
          <w:bCs/>
          <w:color w:val="auto"/>
          <w:kern w:val="0"/>
          <w:szCs w:val="32"/>
          <w:lang w:val="en-US" w:eastAsia="zh-CN"/>
        </w:rPr>
        <w:t>、</w:t>
      </w:r>
      <w:r>
        <w:rPr>
          <w:rFonts w:ascii="仿宋" w:hAnsi="仿宋" w:eastAsia="仿宋" w:cs="宋体"/>
          <w:bCs/>
          <w:color w:val="auto"/>
          <w:kern w:val="0"/>
          <w:szCs w:val="32"/>
        </w:rPr>
        <w:t>比赛结果、现场图片</w:t>
      </w:r>
      <w:r>
        <w:rPr>
          <w:rFonts w:hint="eastAsia" w:ascii="仿宋" w:hAnsi="仿宋" w:eastAsia="仿宋" w:cs="宋体"/>
          <w:bCs/>
          <w:color w:val="auto"/>
          <w:kern w:val="0"/>
          <w:szCs w:val="32"/>
          <w:lang w:val="en-US" w:eastAsia="zh-CN"/>
        </w:rPr>
        <w:t>等内容</w:t>
      </w:r>
      <w:r>
        <w:rPr>
          <w:rFonts w:ascii="仿宋" w:hAnsi="仿宋" w:eastAsia="仿宋" w:cs="宋体"/>
          <w:bCs/>
          <w:color w:val="auto"/>
          <w:kern w:val="0"/>
          <w:szCs w:val="32"/>
        </w:rPr>
        <w:t>）</w:t>
      </w:r>
      <w:r>
        <w:rPr>
          <w:rFonts w:hint="eastAsia" w:ascii="仿宋" w:hAnsi="仿宋" w:eastAsia="仿宋" w:cs="宋体"/>
          <w:bCs/>
          <w:color w:val="auto"/>
          <w:kern w:val="0"/>
          <w:szCs w:val="32"/>
          <w:lang w:val="en-US" w:eastAsia="zh-CN"/>
        </w:rPr>
        <w:t>和《2025年湖南信息学院课程思政教学竞赛复赛</w:t>
      </w:r>
      <w:r>
        <w:rPr>
          <w:rFonts w:hint="eastAsia" w:ascii="仿宋" w:hAnsi="仿宋" w:eastAsia="仿宋" w:cs="宋体"/>
          <w:bCs/>
          <w:color w:val="auto"/>
          <w:kern w:val="0"/>
          <w:szCs w:val="32"/>
        </w:rPr>
        <w:t>推荐表</w:t>
      </w:r>
      <w:r>
        <w:rPr>
          <w:rFonts w:hint="eastAsia" w:ascii="仿宋" w:hAnsi="仿宋" w:eastAsia="仿宋" w:cs="宋体"/>
          <w:bCs/>
          <w:color w:val="auto"/>
          <w:kern w:val="0"/>
          <w:szCs w:val="32"/>
          <w:lang w:eastAsia="zh-CN"/>
        </w:rPr>
        <w:t>》（</w:t>
      </w:r>
      <w:r>
        <w:rPr>
          <w:rFonts w:hint="eastAsia" w:ascii="仿宋" w:hAnsi="仿宋" w:eastAsia="仿宋" w:cs="宋体"/>
          <w:bCs/>
          <w:color w:val="auto"/>
          <w:kern w:val="0"/>
          <w:szCs w:val="32"/>
          <w:lang w:val="en-US" w:eastAsia="zh-CN"/>
        </w:rPr>
        <w:t>附件2</w:t>
      </w:r>
      <w:r>
        <w:rPr>
          <w:rFonts w:hint="eastAsia" w:ascii="仿宋" w:hAnsi="仿宋" w:eastAsia="仿宋" w:cs="宋体"/>
          <w:bCs/>
          <w:color w:val="auto"/>
          <w:kern w:val="0"/>
          <w:szCs w:val="32"/>
          <w:lang w:eastAsia="zh-CN"/>
        </w:rPr>
        <w:t>）</w:t>
      </w:r>
      <w:r>
        <w:rPr>
          <w:rFonts w:ascii="仿宋" w:hAnsi="仿宋" w:eastAsia="仿宋" w:cs="宋体"/>
          <w:bCs/>
          <w:color w:val="auto"/>
          <w:kern w:val="0"/>
          <w:szCs w:val="32"/>
        </w:rPr>
        <w:t>。</w:t>
      </w:r>
    </w:p>
    <w:p w14:paraId="348D2260">
      <w:pPr>
        <w:spacing w:line="560" w:lineRule="exact"/>
        <w:ind w:firstLine="640" w:firstLineChars="200"/>
        <w:rPr>
          <w:rFonts w:hint="default" w:ascii="仿宋" w:hAnsi="仿宋" w:eastAsia="仿宋" w:cs="宋体"/>
          <w:bCs/>
          <w:color w:val="auto"/>
          <w:kern w:val="0"/>
          <w:szCs w:val="32"/>
          <w:lang w:val="en-US" w:eastAsia="zh-CN"/>
        </w:rPr>
      </w:pPr>
      <w:r>
        <w:rPr>
          <w:rFonts w:hint="eastAsia" w:ascii="仿宋" w:hAnsi="仿宋" w:eastAsia="仿宋" w:cs="宋体"/>
          <w:bCs/>
          <w:color w:val="auto"/>
          <w:kern w:val="0"/>
          <w:szCs w:val="32"/>
          <w:lang w:val="en-US" w:eastAsia="zh-CN"/>
        </w:rPr>
        <w:t>2</w:t>
      </w:r>
      <w:r>
        <w:rPr>
          <w:rFonts w:ascii="仿宋" w:hAnsi="仿宋" w:eastAsia="仿宋" w:cs="宋体"/>
          <w:bCs/>
          <w:color w:val="auto"/>
          <w:kern w:val="0"/>
          <w:szCs w:val="32"/>
        </w:rPr>
        <w:t>.</w:t>
      </w:r>
      <w:r>
        <w:rPr>
          <w:rFonts w:hint="eastAsia" w:ascii="仿宋" w:hAnsi="仿宋" w:eastAsia="仿宋" w:cs="宋体"/>
          <w:bCs/>
          <w:color w:val="auto"/>
          <w:kern w:val="0"/>
          <w:szCs w:val="32"/>
          <w:lang w:val="en-US" w:eastAsia="zh-CN"/>
        </w:rPr>
        <w:t>推荐参加校级</w:t>
      </w:r>
      <w:r>
        <w:rPr>
          <w:rFonts w:ascii="仿宋" w:hAnsi="仿宋" w:eastAsia="仿宋" w:cs="宋体"/>
          <w:bCs/>
          <w:color w:val="auto"/>
          <w:kern w:val="0"/>
          <w:szCs w:val="32"/>
        </w:rPr>
        <w:t>复赛</w:t>
      </w:r>
      <w:r>
        <w:rPr>
          <w:rFonts w:hint="eastAsia" w:ascii="仿宋" w:hAnsi="仿宋" w:eastAsia="仿宋" w:cs="宋体"/>
          <w:bCs/>
          <w:color w:val="auto"/>
          <w:kern w:val="0"/>
          <w:szCs w:val="32"/>
          <w:lang w:val="en-US" w:eastAsia="zh-CN"/>
        </w:rPr>
        <w:t>的</w:t>
      </w:r>
      <w:r>
        <w:rPr>
          <w:rFonts w:ascii="仿宋" w:hAnsi="仿宋" w:eastAsia="仿宋" w:cs="宋体"/>
          <w:bCs/>
          <w:color w:val="auto"/>
          <w:kern w:val="0"/>
          <w:szCs w:val="32"/>
        </w:rPr>
        <w:t>教师</w:t>
      </w:r>
      <w:r>
        <w:rPr>
          <w:rFonts w:hint="eastAsia" w:ascii="仿宋" w:hAnsi="仿宋" w:eastAsia="仿宋" w:cs="宋体"/>
          <w:bCs/>
          <w:color w:val="auto"/>
          <w:kern w:val="0"/>
          <w:szCs w:val="32"/>
          <w:lang w:val="en-US" w:eastAsia="zh-CN"/>
        </w:rPr>
        <w:t>应基于一节45分钟时长的授课提交</w:t>
      </w:r>
      <w:r>
        <w:rPr>
          <w:rFonts w:ascii="仿宋" w:hAnsi="仿宋" w:eastAsia="仿宋" w:cs="宋体"/>
          <w:bCs/>
          <w:color w:val="auto"/>
          <w:kern w:val="0"/>
          <w:szCs w:val="32"/>
        </w:rPr>
        <w:t>课堂教学设计作品</w:t>
      </w:r>
      <w:r>
        <w:rPr>
          <w:rFonts w:hint="eastAsia" w:ascii="仿宋" w:hAnsi="仿宋" w:eastAsia="仿宋" w:cs="宋体"/>
          <w:bCs/>
          <w:color w:val="auto"/>
          <w:kern w:val="0"/>
          <w:szCs w:val="32"/>
          <w:lang w:eastAsia="zh-CN"/>
        </w:rPr>
        <w:t>，</w:t>
      </w:r>
      <w:r>
        <w:rPr>
          <w:rFonts w:hint="eastAsia" w:ascii="仿宋" w:hAnsi="仿宋" w:eastAsia="仿宋" w:cs="宋体"/>
          <w:bCs/>
          <w:color w:val="auto"/>
          <w:kern w:val="0"/>
          <w:szCs w:val="32"/>
          <w:lang w:val="en-US" w:eastAsia="zh-CN"/>
        </w:rPr>
        <w:t>具体包括：</w:t>
      </w:r>
    </w:p>
    <w:p w14:paraId="28CDFF27">
      <w:pPr>
        <w:spacing w:line="560" w:lineRule="exact"/>
        <w:ind w:firstLine="640" w:firstLineChars="200"/>
        <w:rPr>
          <w:rFonts w:ascii="仿宋" w:hAnsi="仿宋" w:eastAsia="仿宋" w:cs="宋体"/>
          <w:bCs/>
          <w:color w:val="auto"/>
          <w:kern w:val="0"/>
          <w:szCs w:val="32"/>
        </w:rPr>
      </w:pPr>
      <w:r>
        <w:rPr>
          <w:rFonts w:ascii="仿宋" w:hAnsi="仿宋" w:eastAsia="仿宋" w:cs="宋体"/>
          <w:bCs/>
          <w:color w:val="auto"/>
          <w:kern w:val="0"/>
          <w:szCs w:val="32"/>
        </w:rPr>
        <w:t>（1）参赛教师课堂教学设计（本表统一格式，见附件</w:t>
      </w:r>
      <w:r>
        <w:rPr>
          <w:rFonts w:hint="eastAsia" w:ascii="仿宋" w:hAnsi="仿宋" w:eastAsia="仿宋" w:cs="宋体"/>
          <w:bCs/>
          <w:color w:val="auto"/>
          <w:kern w:val="0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bCs/>
          <w:color w:val="auto"/>
          <w:kern w:val="0"/>
          <w:szCs w:val="32"/>
          <w:lang w:eastAsia="zh-CN"/>
        </w:rPr>
        <w:t>，</w:t>
      </w:r>
      <w:r>
        <w:rPr>
          <w:rFonts w:ascii="仿宋" w:hAnsi="仿宋" w:eastAsia="仿宋" w:cs="宋体"/>
          <w:bCs/>
          <w:color w:val="auto"/>
          <w:kern w:val="0"/>
          <w:szCs w:val="32"/>
        </w:rPr>
        <w:t>非外语参赛课程，用中文填写，外语参赛课程用外语填写</w:t>
      </w:r>
      <w:r>
        <w:rPr>
          <w:rFonts w:hint="eastAsia" w:ascii="仿宋" w:hAnsi="仿宋" w:eastAsia="仿宋" w:cs="宋体"/>
          <w:bCs/>
          <w:color w:val="auto"/>
          <w:kern w:val="0"/>
          <w:szCs w:val="32"/>
          <w:lang w:eastAsia="zh-CN"/>
        </w:rPr>
        <w:t>，</w:t>
      </w:r>
      <w:r>
        <w:rPr>
          <w:rFonts w:ascii="仿宋" w:hAnsi="仿宋" w:eastAsia="仿宋" w:cs="宋体"/>
          <w:bCs/>
          <w:color w:val="auto"/>
          <w:kern w:val="0"/>
          <w:szCs w:val="32"/>
        </w:rPr>
        <w:t>字数不限）。</w:t>
      </w:r>
    </w:p>
    <w:p w14:paraId="5F9745DB">
      <w:pPr>
        <w:spacing w:line="560" w:lineRule="exact"/>
        <w:ind w:firstLine="640" w:firstLineChars="200"/>
        <w:rPr>
          <w:rFonts w:ascii="仿宋" w:hAnsi="仿宋" w:eastAsia="仿宋" w:cs="宋体"/>
          <w:bCs/>
          <w:color w:val="auto"/>
          <w:kern w:val="0"/>
          <w:szCs w:val="32"/>
        </w:rPr>
      </w:pPr>
      <w:r>
        <w:rPr>
          <w:rFonts w:ascii="仿宋" w:hAnsi="仿宋" w:eastAsia="仿宋" w:cs="宋体"/>
          <w:bCs/>
          <w:color w:val="auto"/>
          <w:kern w:val="0"/>
          <w:szCs w:val="32"/>
        </w:rPr>
        <w:t>（2）课堂教学方案阐述（</w:t>
      </w:r>
      <w:r>
        <w:rPr>
          <w:rFonts w:ascii="仿宋" w:hAnsi="仿宋" w:eastAsia="仿宋" w:cs="宋体"/>
          <w:bCs/>
          <w:color w:val="auto"/>
          <w:kern w:val="0"/>
          <w:szCs w:val="32"/>
          <w:lang w:val="en-US" w:eastAsia="zh-CN"/>
        </w:rPr>
        <w:t>须为</w:t>
      </w:r>
      <w:r>
        <w:rPr>
          <w:rFonts w:hint="default" w:ascii="仿宋" w:hAnsi="仿宋" w:eastAsia="仿宋" w:cs="宋体"/>
          <w:bCs/>
          <w:color w:val="auto"/>
          <w:kern w:val="0"/>
          <w:szCs w:val="32"/>
          <w:lang w:val="en-US" w:eastAsia="zh-CN"/>
        </w:rPr>
        <w:t>PDF</w:t>
      </w:r>
      <w:r>
        <w:rPr>
          <w:rFonts w:hint="eastAsia" w:ascii="仿宋" w:hAnsi="仿宋" w:eastAsia="仿宋" w:cs="宋体"/>
          <w:bCs/>
          <w:color w:val="auto"/>
          <w:kern w:val="0"/>
          <w:szCs w:val="32"/>
          <w:lang w:val="en-US" w:eastAsia="zh-CN"/>
        </w:rPr>
        <w:t>文件，用中文书写。具体格式不做要求，但应该包括教学设计的主要思路、教学实施过程说明、教学反思和方案的主要创新点等，字数不超过</w:t>
      </w:r>
      <w:r>
        <w:rPr>
          <w:rFonts w:hint="default" w:ascii="仿宋" w:hAnsi="仿宋" w:eastAsia="仿宋" w:cs="宋体"/>
          <w:bCs/>
          <w:color w:val="auto"/>
          <w:kern w:val="0"/>
          <w:szCs w:val="32"/>
          <w:lang w:val="en-US" w:eastAsia="zh-CN"/>
        </w:rPr>
        <w:t>6000</w:t>
      </w:r>
      <w:r>
        <w:rPr>
          <w:rFonts w:hint="eastAsia" w:ascii="仿宋" w:hAnsi="仿宋" w:eastAsia="仿宋" w:cs="宋体"/>
          <w:bCs/>
          <w:color w:val="auto"/>
          <w:kern w:val="0"/>
          <w:szCs w:val="32"/>
          <w:lang w:val="en-US" w:eastAsia="zh-CN"/>
        </w:rPr>
        <w:t>字</w:t>
      </w:r>
      <w:r>
        <w:rPr>
          <w:rFonts w:ascii="仿宋" w:hAnsi="仿宋" w:eastAsia="仿宋" w:cs="宋体"/>
          <w:bCs/>
          <w:color w:val="auto"/>
          <w:kern w:val="0"/>
          <w:szCs w:val="32"/>
        </w:rPr>
        <w:t>）。</w:t>
      </w:r>
    </w:p>
    <w:p w14:paraId="5D900A60">
      <w:pPr>
        <w:spacing w:line="560" w:lineRule="exact"/>
        <w:ind w:firstLine="640" w:firstLineChars="200"/>
        <w:rPr>
          <w:rFonts w:ascii="仿宋" w:hAnsi="仿宋" w:eastAsia="仿宋" w:cs="宋体"/>
          <w:bCs/>
          <w:color w:val="auto"/>
          <w:kern w:val="0"/>
          <w:szCs w:val="32"/>
        </w:rPr>
      </w:pPr>
      <w:r>
        <w:rPr>
          <w:rFonts w:ascii="仿宋" w:hAnsi="仿宋" w:eastAsia="仿宋" w:cs="宋体"/>
          <w:bCs/>
          <w:color w:val="auto"/>
          <w:kern w:val="0"/>
          <w:szCs w:val="32"/>
        </w:rPr>
        <w:t>（3）教学资源（在教学过程中使用的各种辅助材料，可以是音视频文件、PPT或</w:t>
      </w:r>
      <w:r>
        <w:rPr>
          <w:rFonts w:hint="eastAsia" w:ascii="仿宋" w:hAnsi="仿宋" w:eastAsia="仿宋" w:cs="宋体"/>
          <w:bCs/>
          <w:color w:val="auto"/>
          <w:kern w:val="0"/>
          <w:szCs w:val="32"/>
          <w:lang w:val="en-US" w:eastAsia="zh-CN"/>
        </w:rPr>
        <w:t>PDF</w:t>
      </w:r>
      <w:r>
        <w:rPr>
          <w:rFonts w:ascii="仿宋" w:hAnsi="仿宋" w:eastAsia="仿宋" w:cs="宋体"/>
          <w:bCs/>
          <w:color w:val="auto"/>
          <w:kern w:val="0"/>
          <w:szCs w:val="32"/>
        </w:rPr>
        <w:t>文件等，可在方案阐述中进行说明）。</w:t>
      </w:r>
    </w:p>
    <w:p w14:paraId="4E7DAD99">
      <w:pPr>
        <w:spacing w:line="560" w:lineRule="exact"/>
        <w:ind w:firstLine="643" w:firstLineChars="200"/>
        <w:rPr>
          <w:rFonts w:hint="eastAsia" w:ascii="仿宋" w:hAnsi="仿宋" w:eastAsia="仿宋" w:cs="宋体"/>
          <w:b/>
          <w:bCs w:val="0"/>
          <w:color w:val="auto"/>
          <w:kern w:val="0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0"/>
          <w:szCs w:val="32"/>
          <w:lang w:val="en-US" w:eastAsia="zh-CN"/>
        </w:rPr>
        <w:t>三、现场</w:t>
      </w:r>
      <w:r>
        <w:rPr>
          <w:rFonts w:ascii="仿宋" w:hAnsi="仿宋" w:eastAsia="仿宋" w:cs="宋体"/>
          <w:b/>
          <w:bCs w:val="0"/>
          <w:color w:val="auto"/>
          <w:kern w:val="0"/>
          <w:szCs w:val="32"/>
        </w:rPr>
        <w:t>决赛</w:t>
      </w:r>
      <w:r>
        <w:rPr>
          <w:rFonts w:hint="eastAsia" w:ascii="仿宋" w:hAnsi="仿宋" w:eastAsia="仿宋" w:cs="宋体"/>
          <w:b/>
          <w:bCs w:val="0"/>
          <w:color w:val="auto"/>
          <w:kern w:val="0"/>
          <w:szCs w:val="32"/>
          <w:lang w:val="en-US" w:eastAsia="zh-CN"/>
        </w:rPr>
        <w:t>要求</w:t>
      </w:r>
    </w:p>
    <w:p w14:paraId="3B3DC50B">
      <w:pPr>
        <w:spacing w:line="560" w:lineRule="exact"/>
        <w:ind w:firstLine="640" w:firstLineChars="200"/>
        <w:rPr>
          <w:rFonts w:hint="eastAsia" w:ascii="仿宋" w:hAnsi="仿宋" w:eastAsia="仿宋" w:cs="宋体"/>
          <w:bCs/>
          <w:color w:val="auto"/>
          <w:kern w:val="0"/>
          <w:szCs w:val="32"/>
          <w:lang w:eastAsia="zh-CN"/>
        </w:rPr>
      </w:pPr>
      <w:r>
        <w:rPr>
          <w:rFonts w:ascii="仿宋" w:hAnsi="仿宋" w:eastAsia="仿宋" w:cs="宋体"/>
          <w:bCs/>
          <w:color w:val="auto"/>
          <w:kern w:val="0"/>
          <w:szCs w:val="32"/>
        </w:rPr>
        <w:t>由</w:t>
      </w:r>
      <w:r>
        <w:rPr>
          <w:rFonts w:hint="eastAsia" w:ascii="仿宋" w:hAnsi="仿宋" w:eastAsia="仿宋" w:cs="宋体"/>
          <w:bCs/>
          <w:color w:val="auto"/>
          <w:kern w:val="0"/>
          <w:szCs w:val="32"/>
          <w:lang w:val="en-US" w:eastAsia="zh-CN"/>
        </w:rPr>
        <w:t>进入现场决赛的</w:t>
      </w:r>
      <w:r>
        <w:rPr>
          <w:rFonts w:ascii="仿宋" w:hAnsi="仿宋" w:eastAsia="仿宋" w:cs="宋体"/>
          <w:bCs/>
          <w:color w:val="auto"/>
          <w:kern w:val="0"/>
          <w:szCs w:val="32"/>
        </w:rPr>
        <w:t>教师自行提交所授课程的课程思政说课PPT（整门课）1份和</w:t>
      </w:r>
      <w:r>
        <w:rPr>
          <w:rFonts w:hint="eastAsia" w:ascii="仿宋" w:hAnsi="仿宋" w:eastAsia="仿宋" w:cs="宋体"/>
          <w:bCs/>
          <w:color w:val="auto"/>
          <w:kern w:val="0"/>
          <w:szCs w:val="32"/>
          <w:lang w:val="en-US" w:eastAsia="zh-CN"/>
        </w:rPr>
        <w:t>3</w:t>
      </w:r>
      <w:r>
        <w:rPr>
          <w:rFonts w:ascii="仿宋" w:hAnsi="仿宋" w:eastAsia="仿宋" w:cs="宋体"/>
          <w:bCs/>
          <w:color w:val="auto"/>
          <w:kern w:val="0"/>
          <w:szCs w:val="32"/>
        </w:rPr>
        <w:t>节课的课程思政教学设计材料（教学设计文字说明和课堂教学展示PPT各</w:t>
      </w:r>
      <w:r>
        <w:rPr>
          <w:rFonts w:hint="eastAsia" w:ascii="仿宋" w:hAnsi="仿宋" w:eastAsia="仿宋" w:cs="宋体"/>
          <w:bCs/>
          <w:color w:val="auto"/>
          <w:kern w:val="0"/>
          <w:szCs w:val="32"/>
          <w:lang w:val="en-US" w:eastAsia="zh-CN"/>
        </w:rPr>
        <w:t>3</w:t>
      </w:r>
      <w:r>
        <w:rPr>
          <w:rFonts w:ascii="仿宋" w:hAnsi="仿宋" w:eastAsia="仿宋" w:cs="宋体"/>
          <w:bCs/>
          <w:color w:val="auto"/>
          <w:kern w:val="0"/>
          <w:szCs w:val="32"/>
        </w:rPr>
        <w:t>份，并分别按1-</w:t>
      </w:r>
      <w:r>
        <w:rPr>
          <w:rFonts w:hint="eastAsia" w:ascii="仿宋" w:hAnsi="仿宋" w:eastAsia="仿宋" w:cs="宋体"/>
          <w:bCs/>
          <w:color w:val="auto"/>
          <w:kern w:val="0"/>
          <w:szCs w:val="32"/>
          <w:lang w:val="en-US" w:eastAsia="zh-CN"/>
        </w:rPr>
        <w:t>3</w:t>
      </w:r>
      <w:r>
        <w:rPr>
          <w:rFonts w:ascii="仿宋" w:hAnsi="仿宋" w:eastAsia="仿宋" w:cs="宋体"/>
          <w:bCs/>
          <w:color w:val="auto"/>
          <w:kern w:val="0"/>
          <w:szCs w:val="32"/>
        </w:rPr>
        <w:t>编号），每节课的课程思政教学设计材料需</w:t>
      </w:r>
      <w:r>
        <w:rPr>
          <w:rFonts w:hint="eastAsia" w:ascii="仿宋" w:hAnsi="仿宋" w:eastAsia="仿宋" w:cs="宋体"/>
          <w:bCs/>
          <w:color w:val="auto"/>
          <w:kern w:val="0"/>
          <w:szCs w:val="32"/>
          <w:lang w:val="en-US" w:eastAsia="zh-CN"/>
        </w:rPr>
        <w:t>根据参赛时间</w:t>
      </w:r>
      <w:r>
        <w:rPr>
          <w:rFonts w:ascii="仿宋" w:hAnsi="仿宋" w:eastAsia="仿宋" w:cs="宋体"/>
          <w:bCs/>
          <w:color w:val="auto"/>
          <w:kern w:val="0"/>
          <w:szCs w:val="32"/>
        </w:rPr>
        <w:t>精选教学内容进行优化设计，</w:t>
      </w:r>
      <w:r>
        <w:rPr>
          <w:rFonts w:hint="eastAsia" w:ascii="仿宋" w:hAnsi="仿宋" w:eastAsia="仿宋" w:cs="宋体"/>
          <w:bCs/>
          <w:color w:val="auto"/>
          <w:kern w:val="0"/>
          <w:szCs w:val="32"/>
          <w:lang w:val="en-US" w:eastAsia="zh-CN"/>
        </w:rPr>
        <w:t>要</w:t>
      </w:r>
      <w:r>
        <w:rPr>
          <w:rFonts w:ascii="仿宋" w:hAnsi="仿宋" w:eastAsia="仿宋" w:cs="宋体"/>
          <w:bCs/>
          <w:color w:val="auto"/>
          <w:kern w:val="0"/>
          <w:szCs w:val="32"/>
        </w:rPr>
        <w:t>突出教学重点、强化课程思政特色。现场比赛时长</w:t>
      </w:r>
      <w:r>
        <w:rPr>
          <w:rFonts w:hint="eastAsia" w:ascii="仿宋" w:hAnsi="仿宋" w:eastAsia="仿宋" w:cs="宋体"/>
          <w:bCs/>
          <w:color w:val="auto"/>
          <w:kern w:val="0"/>
          <w:szCs w:val="32"/>
          <w:lang w:val="en-US" w:eastAsia="zh-CN"/>
        </w:rPr>
        <w:t>20</w:t>
      </w:r>
      <w:r>
        <w:rPr>
          <w:rFonts w:ascii="仿宋" w:hAnsi="仿宋" w:eastAsia="仿宋" w:cs="宋体"/>
          <w:bCs/>
          <w:color w:val="auto"/>
          <w:kern w:val="0"/>
          <w:szCs w:val="32"/>
        </w:rPr>
        <w:t>分钟，其中10分钟说课，阐述本门课程课程思政教学设计思路及内容；</w:t>
      </w:r>
      <w:r>
        <w:rPr>
          <w:rFonts w:hint="eastAsia" w:ascii="仿宋" w:hAnsi="仿宋" w:eastAsia="仿宋" w:cs="宋体"/>
          <w:bCs/>
          <w:color w:val="auto"/>
          <w:kern w:val="0"/>
          <w:szCs w:val="32"/>
          <w:lang w:val="en-US" w:eastAsia="zh-CN"/>
        </w:rPr>
        <w:t>10</w:t>
      </w:r>
      <w:r>
        <w:rPr>
          <w:rFonts w:ascii="仿宋" w:hAnsi="仿宋" w:eastAsia="仿宋" w:cs="宋体"/>
          <w:bCs/>
          <w:color w:val="auto"/>
          <w:kern w:val="0"/>
          <w:szCs w:val="32"/>
        </w:rPr>
        <w:t>分钟课堂教学展示（根据参赛教师提交的教学设计材料现场随机抽取一节课进行）</w:t>
      </w:r>
      <w:r>
        <w:rPr>
          <w:rFonts w:hint="eastAsia" w:ascii="仿宋" w:hAnsi="仿宋" w:eastAsia="仿宋" w:cs="宋体"/>
          <w:bCs/>
          <w:color w:val="auto"/>
          <w:kern w:val="0"/>
          <w:szCs w:val="32"/>
          <w:lang w:eastAsia="zh-CN"/>
        </w:rPr>
        <w:t>。</w:t>
      </w:r>
    </w:p>
    <w:p w14:paraId="254557B2">
      <w:pPr>
        <w:spacing w:line="560" w:lineRule="exact"/>
        <w:ind w:firstLine="640" w:firstLineChars="200"/>
        <w:rPr>
          <w:rFonts w:ascii="仿宋" w:hAnsi="仿宋" w:eastAsia="仿宋" w:cs="宋体"/>
          <w:bCs/>
          <w:color w:val="auto"/>
          <w:kern w:val="0"/>
          <w:szCs w:val="32"/>
        </w:rPr>
      </w:pPr>
      <w:r>
        <w:rPr>
          <w:rFonts w:ascii="仿宋" w:hAnsi="仿宋" w:eastAsia="仿宋" w:cs="宋体"/>
          <w:bCs/>
          <w:color w:val="auto"/>
          <w:kern w:val="0"/>
          <w:szCs w:val="32"/>
        </w:rPr>
        <w:t>决赛暂定</w:t>
      </w:r>
      <w:r>
        <w:rPr>
          <w:rFonts w:hint="eastAsia" w:ascii="仿宋" w:hAnsi="仿宋" w:eastAsia="仿宋" w:cs="宋体"/>
          <w:bCs/>
          <w:color w:val="auto"/>
          <w:kern w:val="0"/>
          <w:szCs w:val="32"/>
          <w:lang w:val="en-US" w:eastAsia="zh-CN"/>
        </w:rPr>
        <w:t>5</w:t>
      </w:r>
      <w:r>
        <w:rPr>
          <w:rFonts w:ascii="仿宋" w:hAnsi="仿宋" w:eastAsia="仿宋" w:cs="宋体"/>
          <w:bCs/>
          <w:color w:val="auto"/>
          <w:kern w:val="0"/>
          <w:szCs w:val="32"/>
        </w:rPr>
        <w:t>月</w:t>
      </w:r>
      <w:r>
        <w:rPr>
          <w:rFonts w:ascii="仿宋" w:hAnsi="仿宋" w:eastAsia="仿宋" w:cs="宋体"/>
          <w:bCs/>
          <w:color w:val="auto"/>
          <w:kern w:val="0"/>
          <w:szCs w:val="32"/>
        </w:rPr>
        <w:t>举行，具体安排等事项另行通知。</w:t>
      </w:r>
    </w:p>
    <w:p w14:paraId="585250B2">
      <w:pPr>
        <w:pStyle w:val="2"/>
        <w:spacing w:before="5" w:line="350" w:lineRule="auto"/>
        <w:ind w:left="135" w:right="357" w:firstLine="640"/>
        <w:jc w:val="both"/>
        <w:rPr>
          <w:rFonts w:hint="default" w:ascii="仿宋" w:hAnsi="仿宋" w:eastAsia="仿宋" w:cs="仿宋_GB2312"/>
          <w:b/>
          <w:bCs/>
          <w:color w:val="auto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Cs w:val="32"/>
          <w:lang w:val="en-US" w:eastAsia="zh-CN"/>
        </w:rPr>
        <w:t>四、最终成绩构成</w:t>
      </w:r>
      <w:bookmarkStart w:id="0" w:name="_GoBack"/>
      <w:bookmarkEnd w:id="0"/>
    </w:p>
    <w:p w14:paraId="41E74330">
      <w:pPr>
        <w:pStyle w:val="2"/>
        <w:spacing w:before="5" w:line="350" w:lineRule="auto"/>
        <w:ind w:left="135" w:right="357" w:firstLine="640"/>
        <w:jc w:val="both"/>
        <w:rPr>
          <w:rFonts w:hint="eastAsia" w:ascii="仿宋" w:hAnsi="仿宋" w:eastAsia="仿宋" w:cs="仿宋_GB2312"/>
          <w:color w:val="auto"/>
          <w:szCs w:val="32"/>
        </w:rPr>
      </w:pPr>
      <w:r>
        <w:rPr>
          <w:rFonts w:hint="eastAsia" w:ascii="仿宋" w:hAnsi="仿宋" w:eastAsia="仿宋" w:cs="仿宋_GB2312"/>
          <w:color w:val="auto"/>
          <w:szCs w:val="32"/>
        </w:rPr>
        <w:t>选手比赛最终成绩按复赛成绩（占40%）+现场决赛成绩（占60%）计算。</w:t>
      </w:r>
    </w:p>
    <w:p w14:paraId="43F664F7">
      <w:pPr>
        <w:pStyle w:val="2"/>
        <w:spacing w:before="5" w:line="350" w:lineRule="auto"/>
        <w:ind w:left="135" w:right="357" w:firstLine="640"/>
        <w:jc w:val="both"/>
        <w:rPr>
          <w:rFonts w:hint="default" w:ascii="仿宋" w:hAnsi="仿宋" w:eastAsia="仿宋" w:cs="仿宋_GB2312"/>
          <w:b/>
          <w:bCs/>
          <w:color w:val="auto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Cs w:val="32"/>
          <w:lang w:val="en-US" w:eastAsia="zh-CN"/>
        </w:rPr>
        <w:t>五、评分标准</w:t>
      </w:r>
    </w:p>
    <w:p w14:paraId="47371151">
      <w:pPr>
        <w:pStyle w:val="2"/>
        <w:spacing w:before="5" w:line="350" w:lineRule="auto"/>
        <w:ind w:left="135" w:right="357" w:firstLine="640"/>
        <w:jc w:val="both"/>
        <w:rPr>
          <w:rFonts w:hint="eastAsia" w:ascii="仿宋" w:hAnsi="仿宋" w:eastAsia="仿宋" w:cs="仿宋_GB2312"/>
          <w:color w:val="auto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Cs w:val="32"/>
          <w:lang w:val="en-US" w:eastAsia="zh-CN"/>
        </w:rPr>
        <w:t>（一）复赛评分标准（100分）</w:t>
      </w:r>
    </w:p>
    <w:tbl>
      <w:tblPr>
        <w:tblStyle w:val="8"/>
        <w:tblW w:w="90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6792"/>
        <w:gridCol w:w="707"/>
      </w:tblGrid>
      <w:tr w14:paraId="48ABD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08" w:type="dxa"/>
            <w:vAlign w:val="center"/>
          </w:tcPr>
          <w:p w14:paraId="0944B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7"/>
                <w:sz w:val="24"/>
                <w:szCs w:val="24"/>
              </w:rPr>
              <w:t>评价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9"/>
                <w:sz w:val="24"/>
                <w:szCs w:val="24"/>
              </w:rPr>
              <w:t>指标</w:t>
            </w:r>
          </w:p>
        </w:tc>
        <w:tc>
          <w:tcPr>
            <w:tcW w:w="6792" w:type="dxa"/>
            <w:vAlign w:val="center"/>
          </w:tcPr>
          <w:p w14:paraId="2BAB5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6"/>
                <w:sz w:val="24"/>
                <w:szCs w:val="24"/>
              </w:rPr>
              <w:t>具体内容</w:t>
            </w:r>
          </w:p>
        </w:tc>
        <w:tc>
          <w:tcPr>
            <w:tcW w:w="707" w:type="dxa"/>
            <w:vAlign w:val="center"/>
          </w:tcPr>
          <w:p w14:paraId="17107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9"/>
                <w:sz w:val="24"/>
                <w:szCs w:val="24"/>
              </w:rPr>
              <w:t>分值</w:t>
            </w:r>
          </w:p>
        </w:tc>
      </w:tr>
      <w:tr w14:paraId="671BA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0" w:hRule="atLeast"/>
        </w:trPr>
        <w:tc>
          <w:tcPr>
            <w:tcW w:w="1508" w:type="dxa"/>
            <w:vAlign w:val="center"/>
          </w:tcPr>
          <w:p w14:paraId="64BFF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教学内容</w:t>
            </w:r>
          </w:p>
        </w:tc>
        <w:tc>
          <w:tcPr>
            <w:tcW w:w="6792" w:type="dxa"/>
            <w:vAlign w:val="center"/>
          </w:tcPr>
          <w:p w14:paraId="05EB3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2" w:right="41" w:firstLine="2"/>
              <w:jc w:val="left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</w:rPr>
              <w:t>教学信息量充足，符合学生认知规律，具有较好的</w:t>
            </w: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4"/>
                <w:szCs w:val="24"/>
              </w:rPr>
              <w:t>“</w:t>
            </w:r>
            <w:r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</w:rPr>
              <w:t>高阶性</w:t>
            </w: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4"/>
                <w:szCs w:val="24"/>
              </w:rPr>
              <w:t>”</w:t>
            </w:r>
            <w:r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</w:rPr>
              <w:t>、</w:t>
            </w: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4"/>
                <w:szCs w:val="24"/>
              </w:rPr>
              <w:t>“</w:t>
            </w:r>
            <w:r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</w:rPr>
              <w:t>创</w:t>
            </w: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新性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”</w:t>
            </w: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和一定的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“</w:t>
            </w: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挑战度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”</w:t>
            </w:r>
            <w:r>
              <w:rPr>
                <w:rFonts w:ascii="Times New Roman" w:hAnsi="Times New Roman" w:eastAsia="Times New Roman" w:cs="Times New Roman"/>
                <w:color w:val="auto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。运用思想政治理论教育的原则、方法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>处理教材，围绕坚定学生理想信念，以爱党、爱国、爱社会主</w:t>
            </w:r>
            <w:r>
              <w:rPr>
                <w:rFonts w:ascii="宋体" w:hAnsi="宋体" w:eastAsia="宋体" w:cs="宋体"/>
                <w:color w:val="auto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>义、爱人民、爱集体为主线，围绕政治认同、家国情怀、文化</w:t>
            </w:r>
            <w:r>
              <w:rPr>
                <w:rFonts w:ascii="宋体" w:hAnsi="宋体" w:eastAsia="宋体" w:cs="宋体"/>
                <w:color w:val="auto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素养、宪法法治意识、道德修养等重点优化课程思政</w:t>
            </w: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内容供给，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>系统进行中国特色社会主义和中国梦教育、社会主义核心价值</w:t>
            </w:r>
            <w:r>
              <w:rPr>
                <w:rFonts w:ascii="宋体" w:hAnsi="宋体" w:eastAsia="宋体" w:cs="宋体"/>
                <w:color w:val="auto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>观教育、法治教育、劳动教育、心理健康教育、中华优秀传统</w:t>
            </w:r>
            <w:r>
              <w:rPr>
                <w:rFonts w:ascii="宋体" w:hAnsi="宋体" w:eastAsia="宋体" w:cs="宋体"/>
                <w:color w:val="auto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>文化教育。潜移默化地对学生的思想意识、行为举止产生积极</w:t>
            </w:r>
            <w:r>
              <w:rPr>
                <w:rFonts w:ascii="宋体" w:hAnsi="宋体" w:eastAsia="宋体" w:cs="宋体"/>
                <w:color w:val="auto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>影响，实现价值塑造、知识传授和能力培养相融合、教书与育</w:t>
            </w:r>
            <w:r>
              <w:rPr>
                <w:rFonts w:ascii="宋体" w:hAnsi="宋体" w:eastAsia="宋体" w:cs="宋体"/>
                <w:color w:val="auto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人相统一。</w:t>
            </w:r>
          </w:p>
        </w:tc>
        <w:tc>
          <w:tcPr>
            <w:tcW w:w="707" w:type="dxa"/>
            <w:vAlign w:val="center"/>
          </w:tcPr>
          <w:p w14:paraId="7FD93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2"/>
                <w:sz w:val="24"/>
                <w:szCs w:val="24"/>
              </w:rPr>
              <w:t>40</w:t>
            </w:r>
          </w:p>
        </w:tc>
      </w:tr>
      <w:tr w14:paraId="0FBB7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1508" w:type="dxa"/>
            <w:vAlign w:val="center"/>
          </w:tcPr>
          <w:p w14:paraId="3B8ED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教学方法与</w:t>
            </w:r>
            <w:r>
              <w:rPr>
                <w:rFonts w:ascii="宋体" w:hAnsi="宋体" w:eastAsia="宋体" w:cs="宋体"/>
                <w:color w:val="auto"/>
                <w:spacing w:val="-5"/>
                <w:sz w:val="24"/>
                <w:szCs w:val="24"/>
              </w:rPr>
              <w:t>手段</w:t>
            </w:r>
          </w:p>
        </w:tc>
        <w:tc>
          <w:tcPr>
            <w:tcW w:w="6792" w:type="dxa"/>
            <w:vAlign w:val="center"/>
          </w:tcPr>
          <w:p w14:paraId="74AD5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3" w:right="161" w:hanging="11"/>
              <w:jc w:val="left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4"/>
                <w:szCs w:val="24"/>
              </w:rPr>
              <w:t>讲授、讨论、探究、项目、案例、实验等教学方法恰当使用，</w:t>
            </w: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多媒体、虚拟仿真、计算机网络等教学手段有效运用。</w:t>
            </w:r>
          </w:p>
        </w:tc>
        <w:tc>
          <w:tcPr>
            <w:tcW w:w="707" w:type="dxa"/>
            <w:vAlign w:val="center"/>
          </w:tcPr>
          <w:p w14:paraId="08198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3"/>
                <w:sz w:val="24"/>
                <w:szCs w:val="24"/>
              </w:rPr>
              <w:t>20</w:t>
            </w:r>
          </w:p>
        </w:tc>
      </w:tr>
      <w:tr w14:paraId="41083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508" w:type="dxa"/>
            <w:vAlign w:val="center"/>
          </w:tcPr>
          <w:p w14:paraId="47F00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教学目标</w:t>
            </w:r>
          </w:p>
        </w:tc>
        <w:tc>
          <w:tcPr>
            <w:tcW w:w="6792" w:type="dxa"/>
            <w:vAlign w:val="center"/>
          </w:tcPr>
          <w:p w14:paraId="0EE64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2" w:right="103" w:firstLine="45"/>
              <w:jc w:val="left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目标设计恰当，符合课程要求、学科特点和学生实际；</w:t>
            </w:r>
            <w:r>
              <w:rPr>
                <w:rFonts w:ascii="宋体" w:hAnsi="宋体" w:eastAsia="宋体" w:cs="宋体"/>
                <w:color w:val="auto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目标明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>确具体、可观察、可测评、可达成；思政目标与知识、能力目</w:t>
            </w:r>
            <w:r>
              <w:rPr>
                <w:rFonts w:ascii="宋体" w:hAnsi="宋体" w:eastAsia="宋体" w:cs="宋体"/>
                <w:color w:val="auto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标相衔接。</w:t>
            </w:r>
          </w:p>
        </w:tc>
        <w:tc>
          <w:tcPr>
            <w:tcW w:w="707" w:type="dxa"/>
            <w:vAlign w:val="center"/>
          </w:tcPr>
          <w:p w14:paraId="37E3E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5"/>
                <w:sz w:val="24"/>
                <w:szCs w:val="24"/>
              </w:rPr>
              <w:t>10</w:t>
            </w:r>
          </w:p>
        </w:tc>
      </w:tr>
      <w:tr w14:paraId="07025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508" w:type="dxa"/>
            <w:vAlign w:val="center"/>
          </w:tcPr>
          <w:p w14:paraId="57FC2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教学评价</w:t>
            </w:r>
          </w:p>
        </w:tc>
        <w:tc>
          <w:tcPr>
            <w:tcW w:w="6792" w:type="dxa"/>
            <w:vAlign w:val="center"/>
          </w:tcPr>
          <w:p w14:paraId="5F512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03"/>
              <w:jc w:val="left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>恰当运用过程、提问、课堂观察、作业、问卷、访谈等多元评</w:t>
            </w: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价方法，激励学生学习，考察教学成效。</w:t>
            </w:r>
          </w:p>
        </w:tc>
        <w:tc>
          <w:tcPr>
            <w:tcW w:w="707" w:type="dxa"/>
            <w:vAlign w:val="center"/>
          </w:tcPr>
          <w:p w14:paraId="29342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14:paraId="61FBF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508" w:type="dxa"/>
            <w:vAlign w:val="center"/>
          </w:tcPr>
          <w:p w14:paraId="563DC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教学反思</w:t>
            </w:r>
          </w:p>
        </w:tc>
        <w:tc>
          <w:tcPr>
            <w:tcW w:w="6792" w:type="dxa"/>
            <w:vAlign w:val="center"/>
          </w:tcPr>
          <w:p w14:paraId="5C74A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41" w:firstLine="8"/>
              <w:jc w:val="left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能够对教学内容（包含课程思政内容）和过程进行梳理和反思，</w:t>
            </w:r>
            <w:r>
              <w:rPr>
                <w:rFonts w:ascii="宋体" w:hAnsi="宋体" w:eastAsia="宋体" w:cs="宋体"/>
                <w:color w:val="auto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提出改进意见，适时调整。</w:t>
            </w:r>
          </w:p>
        </w:tc>
        <w:tc>
          <w:tcPr>
            <w:tcW w:w="707" w:type="dxa"/>
            <w:vAlign w:val="center"/>
          </w:tcPr>
          <w:p w14:paraId="1D9E2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14:paraId="2B87C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508" w:type="dxa"/>
            <w:vAlign w:val="center"/>
          </w:tcPr>
          <w:p w14:paraId="2B941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教材分析</w:t>
            </w:r>
          </w:p>
        </w:tc>
        <w:tc>
          <w:tcPr>
            <w:tcW w:w="6792" w:type="dxa"/>
            <w:vAlign w:val="center"/>
          </w:tcPr>
          <w:p w14:paraId="5A2DA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6" w:right="103" w:hanging="5"/>
              <w:jc w:val="left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>对本设计涉及到的教材内容及其作用作简明扼要的分析，为教</w:t>
            </w: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学思路、重难点等内容的确定提供依据。</w:t>
            </w:r>
          </w:p>
        </w:tc>
        <w:tc>
          <w:tcPr>
            <w:tcW w:w="707" w:type="dxa"/>
            <w:vAlign w:val="center"/>
          </w:tcPr>
          <w:p w14:paraId="44A0A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14:paraId="7B64A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508" w:type="dxa"/>
            <w:vAlign w:val="center"/>
          </w:tcPr>
          <w:p w14:paraId="61FF8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学情分析</w:t>
            </w:r>
          </w:p>
        </w:tc>
        <w:tc>
          <w:tcPr>
            <w:tcW w:w="6792" w:type="dxa"/>
            <w:vAlign w:val="center"/>
          </w:tcPr>
          <w:p w14:paraId="084C1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Arial"/>
                <w:color w:val="auto"/>
                <w:sz w:val="21"/>
              </w:rPr>
            </w:pPr>
          </w:p>
          <w:p w14:paraId="7A2B3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5" w:right="161" w:hanging="4"/>
              <w:jc w:val="left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4"/>
                <w:szCs w:val="24"/>
              </w:rPr>
              <w:t>对学生学科知识、认知特征和情感态度等内容进行精准分析，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坚持问题导向，突出业务教学和思想政治教育的针对性。</w:t>
            </w:r>
          </w:p>
        </w:tc>
        <w:tc>
          <w:tcPr>
            <w:tcW w:w="707" w:type="dxa"/>
            <w:vAlign w:val="center"/>
          </w:tcPr>
          <w:p w14:paraId="43798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14:paraId="36DF7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508" w:type="dxa"/>
            <w:vAlign w:val="center"/>
          </w:tcPr>
          <w:p w14:paraId="2F52B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3"/>
                <w:sz w:val="24"/>
                <w:szCs w:val="24"/>
              </w:rPr>
              <w:t>自主学习</w:t>
            </w:r>
          </w:p>
        </w:tc>
        <w:tc>
          <w:tcPr>
            <w:tcW w:w="6792" w:type="dxa"/>
            <w:vAlign w:val="center"/>
          </w:tcPr>
          <w:p w14:paraId="75771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为学生搭建课外学习平台，引导学生进行自主学习和自主评价。</w:t>
            </w:r>
          </w:p>
        </w:tc>
        <w:tc>
          <w:tcPr>
            <w:tcW w:w="707" w:type="dxa"/>
            <w:vAlign w:val="center"/>
          </w:tcPr>
          <w:p w14:paraId="1436A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14:paraId="69CEC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1508" w:type="dxa"/>
            <w:vAlign w:val="center"/>
          </w:tcPr>
          <w:p w14:paraId="2CACC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教学资源</w:t>
            </w:r>
          </w:p>
        </w:tc>
        <w:tc>
          <w:tcPr>
            <w:tcW w:w="6792" w:type="dxa"/>
            <w:vAlign w:val="center"/>
          </w:tcPr>
          <w:p w14:paraId="62804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2" w:right="103" w:firstLine="2"/>
              <w:jc w:val="left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教学资源推介面广、材料丰富</w:t>
            </w:r>
            <w:r>
              <w:rPr>
                <w:rFonts w:ascii="宋体" w:hAnsi="宋体" w:eastAsia="宋体" w:cs="宋体"/>
                <w:color w:val="auto"/>
                <w:spacing w:val="-4"/>
                <w:sz w:val="20"/>
                <w:szCs w:val="20"/>
              </w:rPr>
              <w:t>。</w:t>
            </w: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能有效挖掘课程和教学方式所蕴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含的思想政治教育资源。</w:t>
            </w:r>
          </w:p>
        </w:tc>
        <w:tc>
          <w:tcPr>
            <w:tcW w:w="707" w:type="dxa"/>
            <w:vAlign w:val="center"/>
          </w:tcPr>
          <w:p w14:paraId="71E25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  <w:p w14:paraId="64E5A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5</w:t>
            </w:r>
          </w:p>
        </w:tc>
      </w:tr>
    </w:tbl>
    <w:p w14:paraId="18B56926">
      <w:pPr>
        <w:pStyle w:val="2"/>
        <w:numPr>
          <w:ilvl w:val="0"/>
          <w:numId w:val="1"/>
        </w:numPr>
        <w:spacing w:after="29"/>
        <w:ind w:left="776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现场决赛评分标准（100分）</w:t>
      </w:r>
    </w:p>
    <w:tbl>
      <w:tblPr>
        <w:tblStyle w:val="8"/>
        <w:tblW w:w="90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1"/>
        <w:gridCol w:w="6726"/>
        <w:gridCol w:w="804"/>
      </w:tblGrid>
      <w:tr w14:paraId="08B76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81" w:type="dxa"/>
            <w:vAlign w:val="center"/>
          </w:tcPr>
          <w:p w14:paraId="30152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7"/>
                <w:sz w:val="24"/>
                <w:szCs w:val="24"/>
              </w:rPr>
              <w:t>评价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9"/>
                <w:sz w:val="24"/>
                <w:szCs w:val="24"/>
              </w:rPr>
              <w:t>指标</w:t>
            </w:r>
          </w:p>
        </w:tc>
        <w:tc>
          <w:tcPr>
            <w:tcW w:w="6726" w:type="dxa"/>
            <w:vAlign w:val="center"/>
          </w:tcPr>
          <w:p w14:paraId="09517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891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6"/>
                <w:sz w:val="24"/>
                <w:szCs w:val="24"/>
              </w:rPr>
              <w:t>具体内容</w:t>
            </w:r>
          </w:p>
        </w:tc>
        <w:tc>
          <w:tcPr>
            <w:tcW w:w="804" w:type="dxa"/>
            <w:vAlign w:val="center"/>
          </w:tcPr>
          <w:p w14:paraId="7D989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72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9"/>
                <w:sz w:val="24"/>
                <w:szCs w:val="24"/>
              </w:rPr>
              <w:t>分值</w:t>
            </w:r>
          </w:p>
        </w:tc>
      </w:tr>
      <w:tr w14:paraId="659E3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481" w:type="dxa"/>
            <w:vMerge w:val="restart"/>
            <w:tcBorders>
              <w:bottom w:val="nil"/>
            </w:tcBorders>
            <w:vAlign w:val="center"/>
          </w:tcPr>
          <w:p w14:paraId="171BF5DD">
            <w:pPr>
              <w:spacing w:before="78" w:line="219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教学实施</w:t>
            </w:r>
          </w:p>
        </w:tc>
        <w:tc>
          <w:tcPr>
            <w:tcW w:w="6726" w:type="dxa"/>
            <w:vAlign w:val="center"/>
          </w:tcPr>
          <w:p w14:paraId="1193AB8E">
            <w:pPr>
              <w:spacing w:before="206"/>
              <w:ind w:left="111" w:right="104" w:firstLine="2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善于提炼课程蕴含的育人因素，将思想政治教育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和专业知识传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授相融合，教学内容呈现恰当，教学活动组织合理。</w:t>
            </w:r>
          </w:p>
        </w:tc>
        <w:tc>
          <w:tcPr>
            <w:tcW w:w="804" w:type="dxa"/>
            <w:vAlign w:val="center"/>
          </w:tcPr>
          <w:p w14:paraId="5EEF95F9">
            <w:pPr>
              <w:spacing w:before="69" w:line="18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20</w:t>
            </w:r>
          </w:p>
        </w:tc>
      </w:tr>
      <w:tr w14:paraId="2F8A1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481" w:type="dxa"/>
            <w:vMerge w:val="continue"/>
            <w:tcBorders>
              <w:top w:val="nil"/>
              <w:bottom w:val="nil"/>
            </w:tcBorders>
            <w:vAlign w:val="center"/>
          </w:tcPr>
          <w:p w14:paraId="6EB33CE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726" w:type="dxa"/>
            <w:vAlign w:val="center"/>
          </w:tcPr>
          <w:p w14:paraId="001082C0">
            <w:pPr>
              <w:spacing w:before="208"/>
              <w:ind w:left="113" w:right="104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善于综合运用现代信息技术手段和数字资源，把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思想政治教育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有效融入教学过程，教学方法运用恰当，教学策略使用有效。</w:t>
            </w:r>
          </w:p>
        </w:tc>
        <w:tc>
          <w:tcPr>
            <w:tcW w:w="804" w:type="dxa"/>
            <w:vAlign w:val="center"/>
          </w:tcPr>
          <w:p w14:paraId="14A0A3E4">
            <w:pPr>
              <w:spacing w:before="69" w:line="18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5"/>
                <w:sz w:val="24"/>
                <w:szCs w:val="24"/>
              </w:rPr>
              <w:t>15</w:t>
            </w:r>
          </w:p>
        </w:tc>
      </w:tr>
      <w:tr w14:paraId="661A1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481" w:type="dxa"/>
            <w:vMerge w:val="continue"/>
            <w:tcBorders>
              <w:top w:val="nil"/>
            </w:tcBorders>
            <w:vAlign w:val="center"/>
          </w:tcPr>
          <w:p w14:paraId="340B250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726" w:type="dxa"/>
            <w:vAlign w:val="center"/>
          </w:tcPr>
          <w:p w14:paraId="139D6035">
            <w:pPr>
              <w:spacing w:before="143" w:line="242" w:lineRule="auto"/>
              <w:ind w:left="114" w:right="104" w:hanging="2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注重教学互动，突出学生主体地位，调动学生参与课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堂教学积 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</w:rPr>
              <w:t>极性。</w:t>
            </w:r>
          </w:p>
        </w:tc>
        <w:tc>
          <w:tcPr>
            <w:tcW w:w="804" w:type="dxa"/>
            <w:vAlign w:val="center"/>
          </w:tcPr>
          <w:p w14:paraId="124825FB">
            <w:pPr>
              <w:spacing w:before="69" w:line="18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5"/>
                <w:sz w:val="24"/>
                <w:szCs w:val="24"/>
              </w:rPr>
              <w:t>10</w:t>
            </w:r>
          </w:p>
        </w:tc>
      </w:tr>
      <w:tr w14:paraId="0FE77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481" w:type="dxa"/>
            <w:vMerge w:val="restart"/>
            <w:tcBorders>
              <w:bottom w:val="nil"/>
            </w:tcBorders>
            <w:vAlign w:val="center"/>
          </w:tcPr>
          <w:p w14:paraId="34637C22">
            <w:pPr>
              <w:spacing w:before="78" w:line="219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教学效果</w:t>
            </w:r>
          </w:p>
        </w:tc>
        <w:tc>
          <w:tcPr>
            <w:tcW w:w="6726" w:type="dxa"/>
            <w:vAlign w:val="center"/>
          </w:tcPr>
          <w:p w14:paraId="28D17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2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注重价值引领，有效达成教学目标，效果明显。</w:t>
            </w:r>
          </w:p>
        </w:tc>
        <w:tc>
          <w:tcPr>
            <w:tcW w:w="804" w:type="dxa"/>
            <w:vAlign w:val="center"/>
          </w:tcPr>
          <w:p w14:paraId="51068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20</w:t>
            </w:r>
          </w:p>
        </w:tc>
      </w:tr>
      <w:tr w14:paraId="1ED04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481" w:type="dxa"/>
            <w:vMerge w:val="continue"/>
            <w:tcBorders>
              <w:top w:val="nil"/>
            </w:tcBorders>
            <w:vAlign w:val="center"/>
          </w:tcPr>
          <w:p w14:paraId="4371BF7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726" w:type="dxa"/>
            <w:vAlign w:val="center"/>
          </w:tcPr>
          <w:p w14:paraId="43BBE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课堂教学在同类课程中特色鲜明，具有较强的示范性。</w:t>
            </w:r>
          </w:p>
        </w:tc>
        <w:tc>
          <w:tcPr>
            <w:tcW w:w="804" w:type="dxa"/>
            <w:vAlign w:val="center"/>
          </w:tcPr>
          <w:p w14:paraId="78A4D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15"/>
                <w:sz w:val="24"/>
                <w:szCs w:val="24"/>
                <w:lang w:val="en-US" w:eastAsia="zh-CN"/>
              </w:rPr>
              <w:t>15</w:t>
            </w:r>
          </w:p>
        </w:tc>
      </w:tr>
      <w:tr w14:paraId="5A953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481" w:type="dxa"/>
            <w:vAlign w:val="center"/>
          </w:tcPr>
          <w:p w14:paraId="18E3B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66" w:right="138" w:hanging="117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教师素养与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创新特色</w:t>
            </w:r>
          </w:p>
        </w:tc>
        <w:tc>
          <w:tcPr>
            <w:tcW w:w="6726" w:type="dxa"/>
            <w:vAlign w:val="center"/>
          </w:tcPr>
          <w:p w14:paraId="4514C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04" w:firstLine="3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具有良好的专业素养、科学精神、人文情怀；教态大方，举止</w:t>
            </w:r>
            <w:r>
              <w:rPr>
                <w:rFonts w:hint="eastAsia" w:ascii="宋体" w:hAnsi="宋体" w:eastAsia="宋体" w:cs="宋体"/>
                <w:color w:val="auto"/>
                <w:spacing w:val="1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得体，精神饱满，综合素质高；个人教学特色突出。</w:t>
            </w:r>
          </w:p>
        </w:tc>
        <w:tc>
          <w:tcPr>
            <w:tcW w:w="804" w:type="dxa"/>
            <w:vAlign w:val="center"/>
          </w:tcPr>
          <w:p w14:paraId="4C9D4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15"/>
                <w:sz w:val="24"/>
                <w:szCs w:val="24"/>
                <w:lang w:val="en-US" w:eastAsia="zh-CN"/>
              </w:rPr>
              <w:t>20</w:t>
            </w:r>
          </w:p>
        </w:tc>
      </w:tr>
    </w:tbl>
    <w:p w14:paraId="0935493B">
      <w:pPr>
        <w:pStyle w:val="2"/>
        <w:numPr>
          <w:ilvl w:val="0"/>
          <w:numId w:val="0"/>
        </w:numPr>
        <w:spacing w:after="29"/>
        <w:rPr>
          <w:rFonts w:hint="eastAsia" w:ascii="仿宋" w:hAnsi="仿宋" w:eastAsia="仿宋" w:cs="仿宋"/>
          <w:color w:val="auto"/>
        </w:rPr>
      </w:pPr>
    </w:p>
    <w:p w14:paraId="790B7AEB">
      <w:pPr>
        <w:rPr>
          <w:color w:val="auto"/>
        </w:rPr>
      </w:pPr>
    </w:p>
    <w:sectPr>
      <w:footerReference r:id="rId3" w:type="default"/>
      <w:footerReference r:id="rId4" w:type="even"/>
      <w:pgSz w:w="11906" w:h="16838"/>
      <w:pgMar w:top="1440" w:right="1416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A2722"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284E622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4ED31"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925D661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4CB943"/>
    <w:multiLevelType w:val="singleLevel"/>
    <w:tmpl w:val="8B4CB94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mM2I4ODViZjhhNTVmODVjMjBjY2FkMDhkNzBkYzcifQ=="/>
  </w:docVars>
  <w:rsids>
    <w:rsidRoot w:val="00000000"/>
    <w:rsid w:val="005A0FB6"/>
    <w:rsid w:val="024C4754"/>
    <w:rsid w:val="048F42EE"/>
    <w:rsid w:val="081E6051"/>
    <w:rsid w:val="0898267C"/>
    <w:rsid w:val="0B9C2483"/>
    <w:rsid w:val="0E1F17C1"/>
    <w:rsid w:val="0EC107E0"/>
    <w:rsid w:val="0F9A365F"/>
    <w:rsid w:val="0FD04DF1"/>
    <w:rsid w:val="153674A4"/>
    <w:rsid w:val="17101F77"/>
    <w:rsid w:val="17D01916"/>
    <w:rsid w:val="1AC15A62"/>
    <w:rsid w:val="1B126F5D"/>
    <w:rsid w:val="1BBE7284"/>
    <w:rsid w:val="1D006A40"/>
    <w:rsid w:val="1D0E1181"/>
    <w:rsid w:val="1DAD0CA0"/>
    <w:rsid w:val="1EB202A6"/>
    <w:rsid w:val="264D7D4B"/>
    <w:rsid w:val="28DB4DA2"/>
    <w:rsid w:val="29FB5B9F"/>
    <w:rsid w:val="2A7475FA"/>
    <w:rsid w:val="2A9215FE"/>
    <w:rsid w:val="2C710E56"/>
    <w:rsid w:val="2D1E6D44"/>
    <w:rsid w:val="2E0028ED"/>
    <w:rsid w:val="2EBC0FFC"/>
    <w:rsid w:val="3161596C"/>
    <w:rsid w:val="31E340B8"/>
    <w:rsid w:val="31F14A27"/>
    <w:rsid w:val="324128D7"/>
    <w:rsid w:val="33950043"/>
    <w:rsid w:val="33E76A59"/>
    <w:rsid w:val="34BD32E6"/>
    <w:rsid w:val="36140CE4"/>
    <w:rsid w:val="3A033549"/>
    <w:rsid w:val="3AFF066F"/>
    <w:rsid w:val="3C3C0578"/>
    <w:rsid w:val="3C601127"/>
    <w:rsid w:val="3F5B72F6"/>
    <w:rsid w:val="4185798B"/>
    <w:rsid w:val="41A27AEC"/>
    <w:rsid w:val="41F77652"/>
    <w:rsid w:val="433F02A4"/>
    <w:rsid w:val="46E97F6B"/>
    <w:rsid w:val="480058DF"/>
    <w:rsid w:val="480768FB"/>
    <w:rsid w:val="48515C96"/>
    <w:rsid w:val="49647D7D"/>
    <w:rsid w:val="4A264ABA"/>
    <w:rsid w:val="4C8A0E18"/>
    <w:rsid w:val="4D487F82"/>
    <w:rsid w:val="4FE614EB"/>
    <w:rsid w:val="51CE66DB"/>
    <w:rsid w:val="53485CC7"/>
    <w:rsid w:val="53654E1D"/>
    <w:rsid w:val="538C01A9"/>
    <w:rsid w:val="5581130E"/>
    <w:rsid w:val="5C8A54F9"/>
    <w:rsid w:val="5CBE6B86"/>
    <w:rsid w:val="5D542CF9"/>
    <w:rsid w:val="5D9C768D"/>
    <w:rsid w:val="5E4D0A45"/>
    <w:rsid w:val="5E954808"/>
    <w:rsid w:val="5EDF7832"/>
    <w:rsid w:val="5EF50565"/>
    <w:rsid w:val="5F5875E4"/>
    <w:rsid w:val="604007A4"/>
    <w:rsid w:val="60E530F9"/>
    <w:rsid w:val="627B2F76"/>
    <w:rsid w:val="65000502"/>
    <w:rsid w:val="6D6A3304"/>
    <w:rsid w:val="6F3239AE"/>
    <w:rsid w:val="70F42A0F"/>
    <w:rsid w:val="71327C95"/>
    <w:rsid w:val="7161324F"/>
    <w:rsid w:val="7250395E"/>
    <w:rsid w:val="72A9667D"/>
    <w:rsid w:val="72D012E4"/>
    <w:rsid w:val="730C2768"/>
    <w:rsid w:val="734B0C60"/>
    <w:rsid w:val="73E84F83"/>
    <w:rsid w:val="73FE18C9"/>
    <w:rsid w:val="74620891"/>
    <w:rsid w:val="781E6FB1"/>
    <w:rsid w:val="78986F77"/>
    <w:rsid w:val="79507852"/>
    <w:rsid w:val="79845B98"/>
    <w:rsid w:val="7A1B6705"/>
    <w:rsid w:val="7CA04D91"/>
    <w:rsid w:val="7CE309DD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190"/>
    </w:pPr>
    <w:rPr>
      <w:rFonts w:ascii="宋体" w:hAnsi="宋体" w:eastAsia="宋体" w:cs="宋体"/>
      <w:sz w:val="32"/>
      <w:szCs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paragraph" w:customStyle="1" w:styleId="7">
    <w:name w:val="Table Paragraph"/>
    <w:basedOn w:val="1"/>
    <w:autoRedefine/>
    <w:qFormat/>
    <w:uiPriority w:val="1"/>
    <w:rPr>
      <w:rFonts w:ascii="宋体" w:hAnsi="宋体" w:eastAsia="宋体" w:cs="宋体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1628</Words>
  <Characters>1673</Characters>
  <Lines>0</Lines>
  <Paragraphs>0</Paragraphs>
  <TotalTime>6</TotalTime>
  <ScaleCrop>false</ScaleCrop>
  <LinksUpToDate>false</LinksUpToDate>
  <CharactersWithSpaces>1698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2022-03-10T03:40:00Z</dcterms:created>
  <dc:creator>DELL</dc:creator>
  <cp:lastModifiedBy>上官开昕</cp:lastModifiedBy>
  <cp:lastPrinted>2025-03-18T02:20:40Z</cp:lastPrinted>
  <dcterms:modified xsi:type="dcterms:W3CDTF">2025-03-18T03:31:16Z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F286AF971396464685CFC69054C45EAD_13</vt:lpwstr>
  </property>
  <property fmtid="{D5CDD505-2E9C-101B-9397-08002B2CF9AE}" pid="4" name="KSOTemplateDocerSaveRecord">
    <vt:lpwstr>eyJoZGlkIjoiYmE0YmI5YWJiYzk5MzA5ZGM5ODY5YTAxOGM1NGM4OGMiLCJ1c2VySWQiOiIxMTMyMjE5MzQ0In0=</vt:lpwstr>
  </property>
</Properties>
</file>