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37" w:lineRule="exact"/>
        <w:ind w:left="0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2</w:t>
      </w:r>
    </w:p>
    <w:p>
      <w:pPr>
        <w:pStyle w:val="2"/>
        <w:spacing w:line="420" w:lineRule="exact"/>
        <w:ind w:left="0"/>
        <w:rPr>
          <w:rFonts w:asciiTheme="majorEastAsia" w:hAnsiTheme="majorEastAsia" w:eastAsiaTheme="majorEastAsia" w:cstheme="majorEastAsia"/>
          <w:sz w:val="44"/>
        </w:rPr>
      </w:pPr>
    </w:p>
    <w:p>
      <w:pPr>
        <w:pStyle w:val="2"/>
        <w:spacing w:line="537" w:lineRule="exact"/>
        <w:ind w:left="0"/>
        <w:jc w:val="center"/>
        <w:rPr>
          <w:rFonts w:hint="eastAsia" w:asciiTheme="majorEastAsia" w:hAnsiTheme="majorEastAsia" w:eastAsiaTheme="majorEastAsia" w:cstheme="majorEastAsia"/>
          <w:sz w:val="44"/>
        </w:rPr>
      </w:pPr>
      <w:r>
        <w:rPr>
          <w:rFonts w:hint="eastAsia" w:asciiTheme="majorEastAsia" w:hAnsiTheme="majorEastAsia" w:eastAsiaTheme="majorEastAsia" w:cstheme="majorEastAsia"/>
          <w:sz w:val="44"/>
        </w:rPr>
        <w:t>湖南信息学院</w:t>
      </w:r>
      <w:r>
        <w:rPr>
          <w:rFonts w:hint="eastAsia" w:asciiTheme="majorEastAsia" w:hAnsiTheme="majorEastAsia" w:eastAsiaTheme="majorEastAsia" w:cstheme="majorEastAsia"/>
          <w:sz w:val="44"/>
          <w:lang w:val="en-US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44"/>
          <w:lang w:val="en-US"/>
        </w:rPr>
        <w:t>年度</w:t>
      </w:r>
      <w:r>
        <w:rPr>
          <w:rFonts w:hint="eastAsia" w:asciiTheme="majorEastAsia" w:hAnsiTheme="majorEastAsia" w:eastAsiaTheme="majorEastAsia" w:cstheme="majorEastAsia"/>
          <w:sz w:val="44"/>
        </w:rPr>
        <w:t>高校教师系列高级专业技术职称评审</w:t>
      </w:r>
    </w:p>
    <w:p>
      <w:pPr>
        <w:pStyle w:val="2"/>
        <w:spacing w:line="537" w:lineRule="exact"/>
        <w:ind w:left="0"/>
        <w:jc w:val="center"/>
        <w:rPr>
          <w:rFonts w:hint="eastAsia" w:ascii="方正小标宋简体" w:eastAsiaTheme="majorEastAsia"/>
          <w:sz w:val="21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</w:rPr>
        <w:t>量化计分表</w:t>
      </w:r>
      <w:r>
        <w:rPr>
          <w:rFonts w:hint="eastAsia" w:asciiTheme="majorEastAsia" w:hAnsiTheme="majorEastAsia" w:eastAsiaTheme="majorEastAsia" w:cstheme="majorEastAsia"/>
          <w:sz w:val="44"/>
          <w:lang w:eastAsia="zh-CN"/>
        </w:rPr>
        <w:t>(</w:t>
      </w:r>
      <w:r>
        <w:rPr>
          <w:rFonts w:hint="eastAsia" w:asciiTheme="majorEastAsia" w:hAnsiTheme="majorEastAsia" w:eastAsiaTheme="majorEastAsia" w:cstheme="majorEastAsia"/>
          <w:sz w:val="44"/>
          <w:lang w:val="en-US" w:eastAsia="zh-CN"/>
        </w:rPr>
        <w:t>专任教师</w:t>
      </w:r>
      <w:r>
        <w:rPr>
          <w:rFonts w:hint="eastAsia" w:asciiTheme="majorEastAsia" w:hAnsiTheme="majorEastAsia" w:eastAsiaTheme="majorEastAsia" w:cstheme="majorEastAsia"/>
          <w:sz w:val="44"/>
          <w:lang w:eastAsia="zh-CN"/>
        </w:rPr>
        <w:t>)</w:t>
      </w:r>
    </w:p>
    <w:bookmarkEnd w:id="0"/>
    <w:p>
      <w:pPr>
        <w:pStyle w:val="3"/>
        <w:spacing w:before="17"/>
        <w:ind w:left="0"/>
        <w:rPr>
          <w:rFonts w:ascii="方正小标宋简体"/>
          <w:sz w:val="21"/>
        </w:rPr>
      </w:pPr>
    </w:p>
    <w:p>
      <w:pPr>
        <w:tabs>
          <w:tab w:val="left" w:pos="3089"/>
          <w:tab w:val="left" w:pos="3859"/>
          <w:tab w:val="left" w:pos="7848"/>
          <w:tab w:val="left" w:pos="8899"/>
          <w:tab w:val="left" w:pos="10579"/>
          <w:tab w:val="left" w:pos="13308"/>
        </w:tabs>
        <w:spacing w:before="61"/>
        <w:ind w:left="500"/>
        <w:rPr>
          <w:rFonts w:asci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报</w:t>
      </w:r>
      <w:r>
        <w:rPr>
          <w:sz w:val="28"/>
        </w:rPr>
        <w:t>职称</w:t>
      </w:r>
      <w:r>
        <w:rPr>
          <w:spacing w:val="-3"/>
          <w:sz w:val="28"/>
        </w:rPr>
        <w:t>及</w:t>
      </w:r>
      <w:r>
        <w:rPr>
          <w:sz w:val="28"/>
        </w:rPr>
        <w:t>类型</w:t>
      </w:r>
      <w:r>
        <w:rPr>
          <w:spacing w:val="-3"/>
          <w:sz w:val="28"/>
        </w:rPr>
        <w:t>：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</w:rPr>
        <w:tab/>
      </w:r>
      <w:r>
        <w:rPr>
          <w:spacing w:val="-1"/>
          <w:sz w:val="28"/>
        </w:rPr>
        <w:t>申</w:t>
      </w:r>
      <w:r>
        <w:rPr>
          <w:spacing w:val="-3"/>
          <w:sz w:val="28"/>
        </w:rPr>
        <w:t>报</w:t>
      </w:r>
      <w:r>
        <w:rPr>
          <w:spacing w:val="-1"/>
          <w:sz w:val="28"/>
        </w:rPr>
        <w:t>学科</w:t>
      </w:r>
      <w:r>
        <w:rPr>
          <w:sz w:val="28"/>
        </w:rPr>
        <w:t>：</w:t>
      </w:r>
      <w:r>
        <w:rPr>
          <w:sz w:val="28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0031"/>
        <w:gridCol w:w="680"/>
        <w:gridCol w:w="897"/>
        <w:gridCol w:w="647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11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一级目录</w:t>
            </w: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二级目录</w:t>
            </w:r>
          </w:p>
        </w:tc>
        <w:tc>
          <w:tcPr>
            <w:tcW w:w="680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自评分</w:t>
            </w:r>
          </w:p>
        </w:tc>
        <w:tc>
          <w:tcPr>
            <w:tcW w:w="897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加分项所在页码</w:t>
            </w:r>
          </w:p>
        </w:tc>
        <w:tc>
          <w:tcPr>
            <w:tcW w:w="647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95"/>
                <w:sz w:val="21"/>
                <w:szCs w:val="21"/>
              </w:rPr>
              <w:t>复核</w:t>
            </w:r>
          </w:p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95"/>
                <w:sz w:val="21"/>
                <w:szCs w:val="21"/>
              </w:rPr>
              <w:t>得分</w:t>
            </w:r>
          </w:p>
        </w:tc>
        <w:tc>
          <w:tcPr>
            <w:tcW w:w="879" w:type="dxa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1.师德师风与日常表现</w:t>
            </w: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工作业绩突出，个人获得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国家党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政部门颁发的国家级、省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级、厅级荣誉称号，分别计10 分、5 分、2 分。同一荣誉称号只取最高级计分。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611" w:type="dxa"/>
            <w:vMerge w:val="continue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由学校党委推荐的个人师德师风先进事迹在国家级、省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级、市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级的主流媒体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指党报、党刊或党政部门主办的网络媒体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进行了专题宣传报道的分别计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分、2分、1分。同一先进事迹只取最高级计分。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11" w:type="dxa"/>
            <w:vMerge w:val="continue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获学校“功勋、功臣、功德”奖彰和学校其他重大专题表彰，每项计2分。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11" w:type="dxa"/>
            <w:vMerge w:val="continue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获学校“优秀教师、优秀教育工作者、优秀共产党员、优秀党务工作者”等综合性荣誉表彰每项计1分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1"/>
                <w:szCs w:val="21"/>
              </w:rPr>
              <w:t>。</w:t>
            </w: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11" w:type="dxa"/>
            <w:vMerge w:val="continue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近5年年度考核为优秀等级的，每次计1分。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611" w:type="dxa"/>
            <w:vMerge w:val="continue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1" w:type="dxa"/>
            <w:vAlign w:val="center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个人负责的工作获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党政部门专项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表彰计分：国家级计5分，省级计3分，厅级计2分。以上奖励仅限国家党政部门专项表彰，其他行业协会均不计分。此项在其他地方不重复计分。</w:t>
            </w:r>
          </w:p>
        </w:tc>
        <w:tc>
          <w:tcPr>
            <w:tcW w:w="68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Theme="minorEastAsia" w:hAnsiTheme="minorEastAsia" w:eastAsiaTheme="minorEastAsia" w:cstheme="minorEastAsia"/>
          <w:sz w:val="21"/>
          <w:szCs w:val="21"/>
        </w:rPr>
        <w:sectPr>
          <w:footerReference r:id="rId3" w:type="default"/>
          <w:pgSz w:w="16840" w:h="11910" w:orient="landscape"/>
          <w:pgMar w:top="1580" w:right="920" w:bottom="1160" w:left="940" w:header="720" w:footer="720" w:gutter="0"/>
          <w:pgNumType w:fmt="decimal" w:start="1"/>
          <w:cols w:space="720" w:num="1"/>
        </w:sect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9828"/>
        <w:gridCol w:w="620"/>
        <w:gridCol w:w="1160"/>
        <w:gridCol w:w="647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2.教育教学</w:t>
            </w: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获教学成果奖：国家级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特等奖200分、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一等奖100分、二等奖80分、三等奖60分；省级一等奖40分、二等奖30分、三等奖20分，校级一等奖6分，二等奖4分，三等奖2分。参与者取前5名，根据排名依次按0.6、0.2、0.1、0.05、0.05的比例计分。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828" w:type="dxa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主持或参与教学建设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，含专业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、课程建设、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教学团队、实验室建设项目等，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分，主持省级15分，主持校级计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分，参与者取前5名，根据排名依次按0.6、0.2、0.1、0.05、0.05的比例计分。其中：由上级部门指定性项目或直接认定的项目按此分值的50%计分。</w:t>
            </w:r>
          </w:p>
        </w:tc>
        <w:tc>
          <w:tcPr>
            <w:tcW w:w="620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(3)“双师型”教师：是指经学校认定的双师双能型教师计2分。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教学效果：近5年，获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校级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课堂教学之星、在线教学之星或信息化教学之星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等教学类专项奖项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每项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计1分。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人才培养项目计分。青年骨干教师：入选校级计1分，验收合格加0.5分；入选省级计2分，验收合格加1分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取最高值计分，不重复计算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。国内访问学者考核合格计1分。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人才工程：入选省级人才工程计5分，入选国家级人才工程计10分。此项同一人只取最高级计分，不重复计分。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教师教学竞赛获奖：综合竞赛：国家级一等奖计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0分，二等奖计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0分，三等奖计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分；省级一等奖计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0分，二等奖计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分，三等奖计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分；校级一等奖计3分，二等奖计2分，三等奖计1分。分类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竞赛：国家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级一等奖计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分，二等奖计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分，三等奖计10分；省级一等奖计8分，二等奖计6分， 三等奖计4分；校级一等奖计2分，二等奖计1分，三等奖计0.5分，其他名次不计分，同一奖项类别只取最高级计分，不重复计分。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指导学生学科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含互联网+创新创业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竞赛：A 类：国家级一等奖计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分，二等奖计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分，三等奖计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分；省级一等奖计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分，二等奖计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分，三等奖计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其他不计分。B 类：国家级一等奖计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分，二等奖计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分，三等奖计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级一等奖计1分，二等奖和三等奖各计0.5分。多人参与的取前3名，根据排序依次按0.6、0.25、0.15的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比例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计分。同一项目取最高奖项计分。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指导学生文体竞赛。国家级：第一等级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金奖/牌、第1-2名、最佳单项奖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计6分/项；第二等级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银奖/牌、第3-5名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奖励计5分/项；第三等级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铜奖/牌、第6-8名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 4 分/项。 省级：第一等级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金奖、第1-2名、最佳单项奖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计3分/项；第二等级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银奖、第3-5名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计2分/项；第三等级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铜奖、第6-8名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计1分/项。多人参与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指导，只取前两名，分别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按0.6、0.4的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比例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计分。同一项目取最高值计分。</w:t>
            </w:r>
          </w:p>
        </w:tc>
        <w:tc>
          <w:tcPr>
            <w:tcW w:w="62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11" w:type="dxa"/>
            <w:vMerge w:val="continue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8" w:type="dxa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指导学生参加大学生创新创业训练计划项目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原大学生研究性学习和创新性实验计划项目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累积最高分值6分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。国家级计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分，省级计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分，校级计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校级累积最高计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；同一项目只取最高级计分；其他类似项目按此标准计分。</w:t>
            </w:r>
          </w:p>
        </w:tc>
        <w:tc>
          <w:tcPr>
            <w:tcW w:w="620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bottom w:val="single" w:color="000000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Theme="minorEastAsia" w:hAnsiTheme="minorEastAsia" w:eastAsiaTheme="minorEastAsia" w:cstheme="minorEastAsia"/>
          <w:sz w:val="21"/>
          <w:szCs w:val="21"/>
        </w:rPr>
        <w:sectPr>
          <w:footerReference r:id="rId4" w:type="default"/>
          <w:pgSz w:w="16840" w:h="11910" w:orient="landscape"/>
          <w:pgMar w:top="1100" w:right="920" w:bottom="1080" w:left="940" w:header="0" w:footer="890" w:gutter="0"/>
          <w:pgNumType w:fmt="decimal"/>
          <w:cols w:space="720" w:num="1"/>
        </w:sectPr>
      </w:pPr>
    </w:p>
    <w:p>
      <w:pPr>
        <w:pStyle w:val="3"/>
        <w:spacing w:line="320" w:lineRule="exact"/>
        <w:ind w:left="0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3"/>
        <w:spacing w:line="320" w:lineRule="exact"/>
        <w:ind w:left="0"/>
        <w:rPr>
          <w:rFonts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9704"/>
        <w:gridCol w:w="744"/>
        <w:gridCol w:w="1160"/>
        <w:gridCol w:w="647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3.科学研究</w:t>
            </w: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研成果获奖：国家级一等奖100分、一等奖80分、三等奖60分；省级一等奖40分、一等奖30分、三等奖20分，校级一等奖6分，二等奖4分，三等奖2分。参与者取前5名，根据排名依次按0.6、0.2、0.1、0.05、0.05的比例计分。</w:t>
            </w:r>
          </w:p>
        </w:tc>
        <w:tc>
          <w:tcPr>
            <w:tcW w:w="744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611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是指独立或以第一作者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在省级以上公开出版的期刊上发表的论文，以下期刊等级参照《湖南信息学院科研成果认定和科时量化暂行办法》的规定执行。计分标准如下：A 级期刊论文：每篇计20分；B-1级期刊论文：每篇计15分；B-2级期刊论文：每篇计10分；C-1级期刊论文：每篇计5分；C-2级期刊论文：每篇计1.5 分；C-3级期刊论文：每篇计1分；D 级期刊论文：每篇计0.5分。参评论文计分数量：申报正高级限计5篇，副高级限计3篇。如全部为C1级及以上刊物文章，可不受以上数量限制。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/>
              </w:rPr>
              <w:t>参与者不计分。</w:t>
            </w:r>
          </w:p>
        </w:tc>
        <w:tc>
          <w:tcPr>
            <w:tcW w:w="744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1611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原创作品、产品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A.艺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术类、文艺类作品独创或合创第一名在省级以上正式刊物发表，根据出版刊物的级别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/>
              </w:rPr>
              <w:t>参照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/>
              </w:rPr>
              <w:t>等级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计算分值，每两版面及以上的分值为100%,1个版面的分值为50%，半个版面的分值为50%，四分之一版面的计25%。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B.艺术类、文艺类作品独创或合创参加中宣部、文化部、教育部、中国作家协会、中国音乐家协会、中国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舞蹈家协会、中国设计艺术家协会、中国美术家协会展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与评奖。国家级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与获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每一类只计最权威的展演，由分支机构或协办机构挂名举办的展演不计分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 2 分；省级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与获奖一次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由分支机构或协办机构挂名举办的展演不计分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 1 分。同一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作品获多项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奖励，取最高一项计分，多项作品获奖可累加计分。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C.工艺类作品参加政府和中国工艺美术家协会举办的展览。国家级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展览一次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由分支机构或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协办机构挂名举办的展演不计分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计5分；省级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展览一次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由分支机构或协办机构挂名举办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展演不计分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计1分。同一项作品获多项奖励，取最高一项计分，多项作品获奖可累加计分。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以上作品所获荣誉为团队者，只取前两名，第一指导人的分值不变，第二指导人按该项分值的 60%计算。</w:t>
            </w:r>
          </w:p>
        </w:tc>
        <w:tc>
          <w:tcPr>
            <w:tcW w:w="744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611" w:type="dxa"/>
            <w:vMerge w:val="continue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主持课题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含科研、教改等项目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。以下项目等级参照《湖南信息学院科研成果认定和科时量化暂行   办法》的规定执行。国家级重大项目A类计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0分；国家级重大项目B类计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0分；国家级重点项目计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0分；国家级一般项目计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0分；省社科、自科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基金重点项目计40分、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一般项目计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分；省部级一般项目计2分；厅级项目计1.5分；校级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仅限本校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重点项目计1分，校级一般项目计0.5分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校级项目累积最高计3分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。申报正高级职称时，省级一般教学改革、规划自筹项目与教育厅科学研究重点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青年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项目限计2项，厅级一般科学研究项目限计1项；申报副高级职称时厅级一般科学研究项目限计2项。参与者取前5名，根据排名依次按0.6、0.2、0.1、0.05、0.05的比例计分。</w:t>
            </w:r>
          </w:p>
        </w:tc>
        <w:tc>
          <w:tcPr>
            <w:tcW w:w="744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Theme="minorEastAsia" w:hAnsiTheme="minorEastAsia" w:eastAsiaTheme="minorEastAsia" w:cstheme="minorEastAsia"/>
          <w:sz w:val="21"/>
          <w:szCs w:val="21"/>
        </w:rPr>
        <w:sectPr>
          <w:pgSz w:w="16840" w:h="11910" w:orient="landscape"/>
          <w:pgMar w:top="1100" w:right="920" w:bottom="1080" w:left="940" w:header="0" w:footer="890" w:gutter="0"/>
          <w:pgNumType w:fmt="decimal"/>
          <w:cols w:space="720" w:num="1"/>
        </w:sectPr>
      </w:pPr>
    </w:p>
    <w:p>
      <w:pPr>
        <w:pStyle w:val="3"/>
        <w:spacing w:line="320" w:lineRule="exact"/>
        <w:ind w:left="0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3"/>
        <w:spacing w:line="320" w:lineRule="exact"/>
        <w:ind w:left="0"/>
        <w:rPr>
          <w:rFonts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474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9704"/>
        <w:gridCol w:w="744"/>
        <w:gridCol w:w="1160"/>
        <w:gridCol w:w="647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3.科学研究</w:t>
            </w:r>
          </w:p>
        </w:tc>
        <w:tc>
          <w:tcPr>
            <w:tcW w:w="9704" w:type="dxa"/>
            <w:vAlign w:val="center"/>
          </w:tcPr>
          <w:p>
            <w:pPr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著作每部5分。教材：国家级规划教材独立主编计20分，省级规划教材独立主编计6分，非规划教材主篇计2分，副主编和参编计0.5分。 国家级规划教材不限数量，省级规划教材最多限报5本，专著和其他教材限报2本。所有著作教材均须提供查询证明。参与者取前5名，根据排名依次按0.6、0.2、0.1、0.05、0.05的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比例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计分。</w:t>
            </w:r>
          </w:p>
        </w:tc>
        <w:tc>
          <w:tcPr>
            <w:tcW w:w="744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主持横向项目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根据累计到账经费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不含设备购置费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，社科类每1万元计1分，自科类每1万元计0.5分。横向项目到账经费由学校财务处提供证明，报教务处或科研处审核。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参与者不计分。</w:t>
            </w:r>
          </w:p>
        </w:tc>
        <w:tc>
          <w:tcPr>
            <w:tcW w:w="744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专利及软件著作权等：获得国家发明专利每项计10分，获得实用新型专利每项计1.5分，多人参与的取前3名，根据排名依次按0.6、0.25、0.15计分；获外观设计专利授权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每项计1分，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软件著作权等每项计0.5分，多人参与的取前3名，根据排名依次按0.6、0.25、0.15计分。国家发明专利不受数量限制，专利限报5项，软件著作权限报2项。</w:t>
            </w:r>
          </w:p>
        </w:tc>
        <w:tc>
          <w:tcPr>
            <w:tcW w:w="744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成果转化与实施：自科类每1万元计1分、社科类每1万元计2分。</w:t>
            </w:r>
          </w:p>
        </w:tc>
        <w:tc>
          <w:tcPr>
            <w:tcW w:w="744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其他社会服务：A：研究报告被党中央、国务院采纳的计30分，被省委省政府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含国家部委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采纳的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20分，被地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级政府部门采纳计10分。B：为地方解决重大社会问题，得到市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级以上政府嘉奖和立功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，共计6分。多人参与的取前5名，根据排名依次按0.6、0.2、0.1、0.05、0.05的比例计分。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同一证书在师德项目中计分的，不再在此项计分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44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4.其他计分</w:t>
            </w:r>
          </w:p>
        </w:tc>
        <w:tc>
          <w:tcPr>
            <w:tcW w:w="9704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继续教育：具备省人社部门出具的专业技术人员继续教育合格证明的计3分。</w:t>
            </w:r>
          </w:p>
        </w:tc>
        <w:tc>
          <w:tcPr>
            <w:tcW w:w="744" w:type="dxa"/>
            <w:tcBorders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计算机模块：通过专业技术人员计算机应用能力考试，取得3个及以上模块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含免考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的计3分；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职称外语：通过专业技术人员外语水平考试，取得职称外语A级证书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含免考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的计3分；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获得硕士学历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计2分，获得博士学历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计8分。只取最高级计分。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面试答辩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评审专家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赋分：优秀5分，良好4分，合格3分，其他不计分。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11" w:type="dxa"/>
            <w:vMerge w:val="restart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5.负分项</w:t>
            </w: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个人违反学校工作纪律受到学校通报批评：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分/次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restart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11" w:type="dxa"/>
            <w:vMerge w:val="continue"/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二级教学事故：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分/次。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1" w:type="dxa"/>
            <w:vAlign w:val="center"/>
          </w:tcPr>
          <w:p>
            <w:pPr>
              <w:pStyle w:val="8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合计得分</w:t>
            </w:r>
          </w:p>
        </w:tc>
        <w:tc>
          <w:tcPr>
            <w:tcW w:w="9704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before="129"/>
              <w:ind w:left="13"/>
              <w:jc w:val="center"/>
              <w:rPr>
                <w:sz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rFonts w:hint="eastAsia"/>
          <w:b/>
          <w:sz w:val="21"/>
          <w:lang w:val="en-US" w:eastAsia="zh-CN"/>
        </w:rPr>
      </w:pPr>
      <w:r>
        <w:rPr>
          <w:rFonts w:hint="eastAsia"/>
          <w:b/>
          <w:sz w:val="21"/>
          <w:lang w:val="en-US" w:eastAsia="zh-CN"/>
        </w:rPr>
        <w:t xml:space="preserve"> </w:t>
      </w:r>
    </w:p>
    <w:p>
      <w:pPr>
        <w:ind w:firstLine="422" w:firstLineChars="200"/>
      </w:pPr>
      <w:r>
        <w:rPr>
          <w:b/>
          <w:sz w:val="21"/>
        </w:rPr>
        <w:t>专家签名</w:t>
      </w:r>
      <w:r>
        <w:rPr>
          <w:rFonts w:hint="eastAsia"/>
          <w:b/>
          <w:sz w:val="21"/>
        </w:rPr>
        <w:t>：</w:t>
      </w:r>
      <w:r>
        <w:rPr>
          <w:rFonts w:hint="eastAsia"/>
          <w:b/>
          <w:sz w:val="21"/>
          <w:lang w:val="en-US"/>
        </w:rPr>
        <w:t xml:space="preserve">                                                       </w:t>
      </w:r>
      <w:r>
        <w:rPr>
          <w:rFonts w:hint="eastAsia"/>
          <w:b/>
          <w:sz w:val="21"/>
        </w:rPr>
        <w:t xml:space="preserve">                                         </w:t>
      </w:r>
      <w:r>
        <w:rPr>
          <w:b/>
          <w:sz w:val="21"/>
        </w:rPr>
        <w:t>年</w:t>
      </w:r>
      <w:r>
        <w:rPr>
          <w:b/>
          <w:sz w:val="21"/>
        </w:rPr>
        <w:tab/>
      </w:r>
      <w:r>
        <w:rPr>
          <w:b/>
          <w:sz w:val="21"/>
        </w:rPr>
        <w:t>月</w:t>
      </w:r>
      <w:r>
        <w:rPr>
          <w:b/>
          <w:sz w:val="21"/>
        </w:rPr>
        <w:tab/>
      </w:r>
      <w:r>
        <w:rPr>
          <w:b/>
          <w:sz w:val="21"/>
        </w:rPr>
        <w:t>日</w:t>
      </w:r>
      <w:r>
        <w:rPr>
          <w:rFonts w:hint="eastAsia"/>
          <w:b/>
          <w:sz w:val="21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5216AA2-2525-46BE-AFB2-2EE27B4388E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9334CD-6580-4FBA-B7D2-DD65F04353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749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jVmNGUwNjBmODNjZTRjMDY2YzBlMTcxNmM4ZGMifQ=="/>
  </w:docVars>
  <w:rsids>
    <w:rsidRoot w:val="11744D7D"/>
    <w:rsid w:val="066B1C96"/>
    <w:rsid w:val="08803813"/>
    <w:rsid w:val="11744D7D"/>
    <w:rsid w:val="1CC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74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2023-10-11T01:02:00Z</dcterms:created>
  <dc:creator>15121020145</dc:creator>
  <cp:lastModifiedBy>黄婧</cp:lastModifiedBy>
  <cp:lastPrinted>2023-10-11T01:46:00Z</cp:lastPrinted>
  <dcterms:modified xsi:type="dcterms:W3CDTF">2023-10-13T03:31:32Z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F760AD5721B54B8585252497267F563F_11</vt:lpwstr>
  </property>
</Properties>
</file>